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6B2B4F" w:rsidRDefault="006B2B4F" w:rsidP="006B2B4F">
      <w:pPr>
        <w:spacing w:after="0" w:line="285" w:lineRule="atLeast"/>
        <w:rPr>
          <w:rFonts w:ascii="Arial" w:eastAsia="Times New Roman" w:hAnsi="Arial" w:cs="Arial"/>
          <w:b/>
          <w:bCs/>
          <w:color w:val="004A80"/>
          <w:sz w:val="24"/>
          <w:szCs w:val="24"/>
          <w:lang w:eastAsia="ru-RU"/>
        </w:rPr>
      </w:pPr>
      <w:r w:rsidRPr="006B2B4F">
        <w:rPr>
          <w:rFonts w:ascii="Arial" w:eastAsia="Times New Roman" w:hAnsi="Arial" w:cs="Arial"/>
          <w:b/>
          <w:bCs/>
          <w:color w:val="004A80"/>
          <w:sz w:val="24"/>
          <w:szCs w:val="24"/>
          <w:lang w:eastAsia="ru-RU"/>
        </w:rPr>
        <w:t>Календарь</w:t>
      </w:r>
    </w:p>
    <w:p w:rsidR="006B2B4F" w:rsidRPr="006B2B4F" w:rsidRDefault="006B2B4F" w:rsidP="006B2B4F">
      <w:pPr>
        <w:spacing w:after="300" w:line="240" w:lineRule="auto"/>
        <w:ind w:left="-30"/>
        <w:outlineLvl w:val="0"/>
        <w:rPr>
          <w:rFonts w:ascii="Arial" w:eastAsia="Times New Roman" w:hAnsi="Arial" w:cs="Arial"/>
          <w:caps/>
          <w:color w:val="5B758F"/>
          <w:spacing w:val="-15"/>
          <w:kern w:val="36"/>
          <w:sz w:val="80"/>
          <w:szCs w:val="80"/>
          <w:lang w:eastAsia="ru-RU"/>
        </w:rPr>
      </w:pPr>
      <w:r w:rsidRPr="006B2B4F">
        <w:rPr>
          <w:rFonts w:ascii="Arial" w:eastAsia="Times New Roman" w:hAnsi="Arial" w:cs="Arial"/>
          <w:caps/>
          <w:color w:val="5B758F"/>
          <w:spacing w:val="-15"/>
          <w:kern w:val="36"/>
          <w:sz w:val="80"/>
          <w:lang w:eastAsia="ru-RU"/>
        </w:rPr>
        <w:t>НАЛОГОВЫЙ </w:t>
      </w:r>
      <w:r w:rsidRPr="006B2B4F">
        <w:rPr>
          <w:rFonts w:ascii="Arial" w:eastAsia="Times New Roman" w:hAnsi="Arial" w:cs="Arial"/>
          <w:caps/>
          <w:color w:val="5B758F"/>
          <w:spacing w:val="-15"/>
          <w:kern w:val="36"/>
          <w:sz w:val="80"/>
          <w:szCs w:val="80"/>
          <w:lang w:eastAsia="ru-RU"/>
        </w:rPr>
        <w:t>И ПРОИЗВОДСТВЕННЫЙ</w:t>
      </w:r>
      <w:r w:rsidRPr="006B2B4F">
        <w:rPr>
          <w:rFonts w:ascii="Arial" w:eastAsia="Times New Roman" w:hAnsi="Arial" w:cs="Arial"/>
          <w:caps/>
          <w:color w:val="5B758F"/>
          <w:spacing w:val="-15"/>
          <w:kern w:val="36"/>
          <w:sz w:val="80"/>
          <w:lang w:eastAsia="ru-RU"/>
        </w:rPr>
        <w:t> КАЛЕНДАРЬ </w:t>
      </w:r>
      <w:r w:rsidRPr="006B2B4F">
        <w:rPr>
          <w:rFonts w:ascii="Arial" w:eastAsia="Times New Roman" w:hAnsi="Arial" w:cs="Arial"/>
          <w:caps/>
          <w:color w:val="5B758F"/>
          <w:spacing w:val="-15"/>
          <w:kern w:val="36"/>
          <w:sz w:val="80"/>
          <w:szCs w:val="80"/>
          <w:lang w:eastAsia="ru-RU"/>
        </w:rPr>
        <w:t>НА ЯНВАРЬ</w:t>
      </w:r>
      <w:r w:rsidRPr="006B2B4F">
        <w:rPr>
          <w:rFonts w:ascii="Arial" w:eastAsia="Times New Roman" w:hAnsi="Arial" w:cs="Arial"/>
          <w:caps/>
          <w:color w:val="5B758F"/>
          <w:spacing w:val="-15"/>
          <w:kern w:val="36"/>
          <w:sz w:val="80"/>
          <w:lang w:eastAsia="ru-RU"/>
        </w:rPr>
        <w:t> 2016 ГОДА</w:t>
      </w:r>
    </w:p>
    <w:p w:rsidR="006B2B4F" w:rsidRPr="006B2B4F" w:rsidRDefault="006B2B4F" w:rsidP="006B2B4F">
      <w:pPr>
        <w:spacing w:after="15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514850"/>
            <wp:effectExtent l="19050" t="0" r="0" b="0"/>
            <wp:docPr id="1" name="Рисунок 1" descr="http://e.profkiosk.ru/service_tbn2/8dxs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8dxsd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4F" w:rsidRPr="006B2B4F" w:rsidRDefault="006B2B4F" w:rsidP="006B2B4F">
      <w:pPr>
        <w:spacing w:before="258" w:after="165" w:line="450" w:lineRule="atLeast"/>
        <w:outlineLvl w:val="1"/>
        <w:rPr>
          <w:rFonts w:ascii="Arial" w:eastAsia="Times New Roman" w:hAnsi="Arial" w:cs="Arial"/>
          <w:b/>
          <w:bCs/>
          <w:caps/>
          <w:color w:val="5B758F"/>
          <w:sz w:val="36"/>
          <w:szCs w:val="36"/>
          <w:lang w:eastAsia="ru-RU"/>
        </w:rPr>
      </w:pPr>
      <w:r w:rsidRPr="006B2B4F">
        <w:rPr>
          <w:rFonts w:ascii="Arial" w:eastAsia="Times New Roman" w:hAnsi="Arial" w:cs="Arial"/>
          <w:b/>
          <w:bCs/>
          <w:caps/>
          <w:color w:val="5B758F"/>
          <w:sz w:val="36"/>
          <w:szCs w:val="36"/>
          <w:lang w:eastAsia="ru-RU"/>
        </w:rPr>
        <w:t>КОНТРОЛЬНЫЕ ДАТЫ ДЛЯ РАБОТОДАТЕЛЕЙ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4581"/>
        <w:gridCol w:w="2413"/>
      </w:tblGrid>
      <w:tr w:rsidR="006B2B4F" w:rsidRPr="006B2B4F" w:rsidTr="006B2B4F">
        <w:trPr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Документ, утвердивший форму отчетности, реквизиты платежного поручения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 позднее 11 января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№ 3-Ф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Работодатели, перечисленные в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5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приказе Росстата от 24.09.2014 № 580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6" w:anchor="/document/99/456001144/ZAP2ETE3FH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№ 3-Ф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если по состоянию на 1 января есть просроченная задолженность по заработной плате работникам.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 сдачи — 2 января — перенесен на ближайший рабочий день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№ 1-ПР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 (кроме малых предприятий)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статистическую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8" w:anchor="/document/99/456001144/ZAP2PO63ND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№ 1-ПР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если в декабре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произошла приостановка работы или забастовка (</w:t>
            </w:r>
            <w:hyperlink r:id="rId9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 сдачи — 2 января — перенесен на ближайший рабочий день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№ 1-КТС (срочная)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 (при наличии коллективных трудовых споров)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сведения о коллективных трудовых спорах за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1" w:anchor="/document/99/902379919/ZAP2L0K3N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форме № 1-КТС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срочная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</w:t>
            </w:r>
            <w:hyperlink r:id="rId12" w:anchor="/document/99/902379919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08.11.2012 № 589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 сдачи — 3 января — перенесен на ближайший рабочий день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902379919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08.11.2012 № 589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№ П-4 (НЗ)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Работодатели (кроме малых предприятий), средняя численность работников которых 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превышает 15 человек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Подают сведения о неполной занятости и движении работников за IV квартал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4" w:anchor="/document/99/456001144/ZAP2NLI3LR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форме № П-4 (НЗ)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15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Срок сдачи — 8 января — перенесен на ближайший рабочий день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 позднее 15 января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Страховые взносы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Работодатели, в том числе плательщики страховых взносов по дополнительному социальному обеспечению: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членов летных экипажей;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отдельных категорий работников организаций угольной промышленности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Уплачивают страховые взносы за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17" w:anchor="/document/99/902167485/XA00M722MT/" w:history="1">
              <w:proofErr w:type="gramStart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ч</w:t>
              </w:r>
              <w:proofErr w:type="gramEnd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. 5 ст. 15 Федерального закона от 24.07.2009 № 212-ФЗ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8" w:anchor="/document/99/901802389/ZA00M3C2LR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ст. 4 Федерального закона от 27.11.2001 № 155-ФЗ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19" w:anchor="/document/99/902213805/XA00M6Q2MH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ч. 2 ст. 7 Федерального закона от 10.05.2010 № 84-ФЗ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платежных поручений 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ниже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№ П-4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(кроме малых предприятий) со средней численностью работников, не превышающей 15 человек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сведения о численности и заработной плате работников за IV квартал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20" w:anchor="/document/99/456001144/ZAP2MLE3JO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форме № П-4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21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(кроме малых предприятий) со средней численностью работников, свыше 15 человек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сведения о численности и заработной плате работников за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23" w:anchor="/document/99/456001144/ZAP2MLE3JO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форме № П-4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24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страховые взносы на накопительную часть трудовой пенсии работников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Перечисляют дополнительные страховые взносы на накопительную часть трудовой пенсии работников, которые написали об этом заявления (</w:t>
            </w:r>
            <w:hyperlink r:id="rId26" w:anchor="/document/99/902098973/XA00M2S2MD/" w:history="1">
              <w:proofErr w:type="gramStart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ч</w:t>
              </w:r>
              <w:proofErr w:type="gramEnd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. 1 ст. 9 Федерального закона от 30.04.2008 № 56-ФЗ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платежного поручения 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ниже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позднее 20 января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Расчеты с ФСС РФ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в бумажном виде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27" w:anchor="/document/99/420258095/ZAP20N63BQ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4-ФСС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2015 год (</w:t>
            </w:r>
            <w:hyperlink r:id="rId28" w:anchor="/document/99/902167485/XA00M2M2M1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1 ч. 9 ст. 15 Федерального закона от 24.07.2009 № 212-ФЗ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/document/99/420258095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ФСС РФ от 26.02.2015 № 59</w:t>
              </w:r>
            </w:hyperlink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одновременно с формой 4-ФСС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30" w:anchor="/document/99/420301304/ZAP204E3CM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отчет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использовании сумм страховых взносов на случай травматизма за 2015 год (</w:t>
            </w:r>
            <w:hyperlink r:id="rId31" w:anchor="/document/99/902127088/ZAP1RES3GT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6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Порядка, утвержденного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32" w:anchor="/document/99/902127088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постановлением ФСС РФ от 15.10.2008 № 209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Рекомендованная форма приведена в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33" w:anchor="/document/99/42030130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письме ФСС РФ от 02.07.2015 № 02-09-11/16-10779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ДСВ-3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Представляют в управления ПФР Реестр застрахованных 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которых в IV квартале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proofErr w:type="spell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</w:t>
            </w:r>
            <w:proofErr w:type="spell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дополнительные страховые взносы на накопительную пенсию;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взносы работодателя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Правления ПФР от 12.11.2008 № 322п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среднесписочной численности работников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Представляют сведения в налоговую инспекцию о среднесписочной численности 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за 2015 год (</w:t>
            </w:r>
            <w:hyperlink r:id="rId34" w:anchor="/document/99/901714421/XA00M3O2M6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3 ст. 80 НК РФ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anchor="/document/99/902037450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ФНС России от 29.03.2007 № ММ-3-</w:t>
              </w:r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lastRenderedPageBreak/>
                <w:t>25/174@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Форма № 1-Т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 (кроме малых предприятий), которые не подают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36" w:anchor="/document/99/456001144/ZAP2MLE3JO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№ П-4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Подают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37" w:anchor="/document/99/456001144/ZAP2MAO3JL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№ 1-Т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anchor="/document/99/45600114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24.09.2014 № 580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№ 1-Т (условия труда)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Работодатели, перечисленные в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39" w:anchor="/document/99/420293305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приказе Росстата от 03.08.2015 № 357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(кроме малых предприятий)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Подают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40" w:anchor="/document/99/420293305/ZAP2M6K3QK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№ 1-Т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(условия труда) за 2015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anchor="/document/99/420293305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Росстата от 03.08.2015 № 357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позднее 25 января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Расчеты с ФСС РФ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в электронном виде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42" w:anchor="/document/99/420258095/ZAP20N63BQ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форму 4-ФСС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2015 год (</w:t>
            </w:r>
            <w:hyperlink r:id="rId43" w:anchor="/document/99/902167485/XA00M2M2M1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1 ч. 9 ст. 15 Федерального закона от 24.07.2009 № 212-ФЗ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anchor="/document/99/420258095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Приказ ФСС РФ от 26.02.2015 № 59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позднее 25 января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Расчеты с ФСС РФ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одновременно с формой 4-ФСС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45" w:anchor="/document/99/420301304/ZAP204E3CM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отчет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использовании сумм страховых взносов на случай травматизма за 2015 год (п. 6 Порядка, утвержденного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46" w:anchor="/document/99/902127088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постановлением ФСС РФ от 15.10.2008 № 209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Рекомендованная форма приведена в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47" w:anchor="/document/99/420301304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письме ФСС РФ от 02.07.2015 № 02-09-11/16-10779</w:t>
              </w:r>
            </w:hyperlink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получения денежных сре</w:t>
            </w:r>
            <w:proofErr w:type="gramStart"/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дств в б</w:t>
            </w:r>
            <w:proofErr w:type="gramEnd"/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анке на выплату зарплаты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НДФЛ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агенты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Перечисляют суммы 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исчисленного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удержанного НДФЛ (</w:t>
            </w:r>
            <w:hyperlink r:id="rId48" w:anchor="/document/99/901765862/XA00MAU2NG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6 ст. 226 НК РФ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платежного поручения 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ниже</w:t>
            </w:r>
          </w:p>
        </w:tc>
      </w:tr>
      <w:tr w:rsidR="006B2B4F" w:rsidRPr="006B2B4F" w:rsidTr="006B2B4F"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Взносы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Уплачивают взносы на обязательное социальное страхование от несчастных случаев на производстве и профзаболеваний (</w:t>
            </w:r>
            <w:hyperlink r:id="rId49" w:anchor="/document/99/901713539/XA00M9C2NA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4 ст. 22 Федерального закона от 24.07.98 № 125-ФЗ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платежного поручения </w:t>
            </w:r>
            <w:proofErr w:type="gramStart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ниже</w:t>
            </w:r>
          </w:p>
        </w:tc>
      </w:tr>
    </w:tbl>
    <w:p w:rsidR="006B2B4F" w:rsidRPr="006B2B4F" w:rsidRDefault="006B2B4F" w:rsidP="006B2B4F">
      <w:pPr>
        <w:spacing w:before="258" w:after="165" w:line="450" w:lineRule="atLeast"/>
        <w:outlineLvl w:val="1"/>
        <w:rPr>
          <w:rFonts w:ascii="Arial" w:eastAsia="Times New Roman" w:hAnsi="Arial" w:cs="Arial"/>
          <w:b/>
          <w:bCs/>
          <w:caps/>
          <w:color w:val="5B758F"/>
          <w:sz w:val="36"/>
          <w:szCs w:val="36"/>
          <w:lang w:eastAsia="ru-RU"/>
        </w:rPr>
      </w:pPr>
      <w:r w:rsidRPr="006B2B4F">
        <w:rPr>
          <w:rFonts w:ascii="Arial" w:eastAsia="Times New Roman" w:hAnsi="Arial" w:cs="Arial"/>
          <w:b/>
          <w:bCs/>
          <w:caps/>
          <w:color w:val="5B758F"/>
          <w:sz w:val="36"/>
          <w:szCs w:val="36"/>
          <w:lang w:eastAsia="ru-RU"/>
        </w:rPr>
        <w:t>КОНТРОЛЬНЫЕ ДАТЫ ДЛЯ ИНДИВИДУАЛЬНЫХ ПРЕДПРИНИМАТЕЛЕЙ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5419"/>
      </w:tblGrid>
      <w:tr w:rsidR="006B2B4F" w:rsidRPr="006B2B4F" w:rsidTr="006B2B4F">
        <w:trPr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</w:tr>
      <w:tr w:rsidR="006B2B4F" w:rsidRPr="006B2B4F" w:rsidTr="006B2B4F"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позднее 15 января</w:t>
            </w:r>
          </w:p>
        </w:tc>
      </w:tr>
      <w:tr w:rsidR="006B2B4F" w:rsidRPr="006B2B4F" w:rsidTr="006B2B4F"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НДФЛ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 и другие лица, занимающиеся частной практикой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Уплачивают на основании налогового уведомления авансовый платеж по НДФЛ за октябрь —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hyperlink r:id="rId50" w:anchor="/document/99/901765862/XA00M482MO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п. 9 ст. 227 НК РФ</w:t>
              </w:r>
            </w:hyperlink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6B2B4F" w:rsidRPr="006B2B4F" w:rsidRDefault="006B2B4F" w:rsidP="006B2B4F">
      <w:pPr>
        <w:spacing w:before="258" w:after="165" w:line="450" w:lineRule="atLeast"/>
        <w:outlineLvl w:val="1"/>
        <w:rPr>
          <w:rFonts w:ascii="Arial" w:eastAsia="Times New Roman" w:hAnsi="Arial" w:cs="Arial"/>
          <w:b/>
          <w:bCs/>
          <w:caps/>
          <w:color w:val="5B758F"/>
          <w:sz w:val="36"/>
          <w:szCs w:val="36"/>
          <w:lang w:eastAsia="ru-RU"/>
        </w:rPr>
      </w:pPr>
      <w:r w:rsidRPr="006B2B4F">
        <w:rPr>
          <w:rFonts w:ascii="Arial" w:eastAsia="Times New Roman" w:hAnsi="Arial" w:cs="Arial"/>
          <w:b/>
          <w:bCs/>
          <w:caps/>
          <w:color w:val="5B758F"/>
          <w:sz w:val="36"/>
          <w:szCs w:val="36"/>
          <w:lang w:eastAsia="ru-RU"/>
        </w:rPr>
        <w:t>КАК ЗАПОЛНИТЬ ПЛАТЕЖКУ РАБОТОДАТЕЛЮ В ЯНВАРЕ 2016 ГОДА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7"/>
        <w:gridCol w:w="514"/>
        <w:gridCol w:w="3190"/>
        <w:gridCol w:w="514"/>
        <w:gridCol w:w="1270"/>
        <w:gridCol w:w="514"/>
        <w:gridCol w:w="514"/>
        <w:gridCol w:w="592"/>
      </w:tblGrid>
      <w:tr w:rsidR="006B2B4F" w:rsidRPr="006B2B4F" w:rsidTr="006B2B4F">
        <w:trPr>
          <w:tblHeader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Поле платежного поручения</w:t>
            </w:r>
          </w:p>
        </w:tc>
      </w:tr>
      <w:tr w:rsidR="006B2B4F" w:rsidRPr="006B2B4F" w:rsidTr="006B2B4F">
        <w:trPr>
          <w:tblHeader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B4F" w:rsidRPr="006B2B4F" w:rsidRDefault="006B2B4F" w:rsidP="006B2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AD2EE"/>
            <w:tcMar>
              <w:top w:w="105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110*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за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ПФР на выплату страховой пенсии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392 1 02 02010 06 1000 160;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ПФР по дополнительному тарифу за работников, занятых на видах работ, указанных в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51" w:anchor="/document/99/499067425/XA00MC62NN/" w:history="1"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части 1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 30 Федерального закона от 28.12.2013 № 400-ФЗ «О страховых пенсиях»: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52" w:anchor="/document/99/499067425/XA00MD82NS/" w:history="1">
              <w:proofErr w:type="gramStart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подпункте</w:t>
              </w:r>
              <w:proofErr w:type="gramEnd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 xml:space="preserve"> 1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392 1 02 02131 06 1000 160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53" w:anchor="/document/99/499067425/XA00MEA2O1/" w:history="1">
              <w:proofErr w:type="gramStart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>подпунктах</w:t>
              </w:r>
              <w:proofErr w:type="gramEnd"/>
              <w:r w:rsidRPr="006B2B4F">
                <w:rPr>
                  <w:rFonts w:ascii="Arial" w:eastAsia="Times New Roman" w:hAnsi="Arial" w:cs="Arial"/>
                  <w:color w:val="147900"/>
                  <w:sz w:val="20"/>
                  <w:lang w:eastAsia="ru-RU"/>
                </w:rPr>
                <w:t xml:space="preserve"> 2—18</w:t>
              </w:r>
            </w:hyperlink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392 1 02 02132 06 1000 160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ФСС РФ на случай временной нетрудоспособности и в связи с материнством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393 1 02 02090 07 1000 160</w:t>
            </w:r>
          </w:p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ФФОМС — 392 1 02 02101 08 1011 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с зарплаты за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МС.12.2015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ФСС РФ на страхование от несчастных случаев на производстве за декабрь 2015</w:t>
            </w:r>
            <w:r w:rsidRPr="006B2B4F">
              <w:rPr>
                <w:rFonts w:ascii="Arial" w:eastAsia="Times New Roman" w:hAnsi="Arial" w:cs="Arial"/>
                <w:sz w:val="20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393 1 02 02050 07 1000 160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страховые взносы на накопительную часть трудовой пенсии сотрудников в Пенсионный фонд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392 1 02 02041 06 1100 160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B4F" w:rsidRPr="006B2B4F" w:rsidTr="006B2B4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Взносы работодателя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392 1 02 02041 06 1200 160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B2B4F" w:rsidRPr="006B2B4F" w:rsidRDefault="006B2B4F" w:rsidP="006B2B4F">
            <w:pPr>
              <w:spacing w:after="150" w:line="3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B2B4F" w:rsidRPr="006B2B4F" w:rsidRDefault="006B2B4F" w:rsidP="006B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2B4F" w:rsidRPr="006B2B4F" w:rsidRDefault="006B2B4F" w:rsidP="006B2B4F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2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Материал из БСС "Система Главбух"</w:t>
      </w:r>
      <w:r w:rsidRPr="006B2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Подробнее: </w:t>
      </w:r>
      <w:hyperlink r:id="rId54" w:anchor="/document/189/438987/dbbb26e179/?of=copy-24864d52bb" w:history="1">
        <w:r w:rsidRPr="006B2B4F">
          <w:rPr>
            <w:rFonts w:ascii="Arial" w:eastAsia="Times New Roman" w:hAnsi="Arial" w:cs="Arial"/>
            <w:color w:val="2B79D9"/>
            <w:sz w:val="21"/>
            <w:lang w:eastAsia="ru-RU"/>
          </w:rPr>
          <w:t>http://vip.1gl.ru/#/document/189/438987/dbbb26e179/?of=copy-24864d52bb</w:t>
        </w:r>
      </w:hyperlink>
    </w:p>
    <w:p w:rsidR="00E751C4" w:rsidRPr="00E751C4" w:rsidRDefault="00E751C4" w:rsidP="00E751C4">
      <w:pPr>
        <w:jc w:val="right"/>
        <w:rPr>
          <w:sz w:val="28"/>
          <w:szCs w:val="28"/>
        </w:rPr>
      </w:pPr>
    </w:p>
    <w:sectPr w:rsidR="00E751C4" w:rsidRPr="00E751C4" w:rsidSect="00C0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E6"/>
    <w:rsid w:val="001D7C6C"/>
    <w:rsid w:val="006B2B4F"/>
    <w:rsid w:val="008C2163"/>
    <w:rsid w:val="009B5ADE"/>
    <w:rsid w:val="00C0068C"/>
    <w:rsid w:val="00E751C4"/>
    <w:rsid w:val="00FC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C"/>
  </w:style>
  <w:style w:type="paragraph" w:styleId="1">
    <w:name w:val="heading 1"/>
    <w:basedOn w:val="a"/>
    <w:link w:val="10"/>
    <w:uiPriority w:val="9"/>
    <w:qFormat/>
    <w:rsid w:val="006B2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6B2B4F"/>
  </w:style>
  <w:style w:type="character" w:customStyle="1" w:styleId="apple-converted-space">
    <w:name w:val="apple-converted-space"/>
    <w:basedOn w:val="a0"/>
    <w:rsid w:val="006B2B4F"/>
  </w:style>
  <w:style w:type="paragraph" w:styleId="a5">
    <w:name w:val="Normal (Web)"/>
    <w:basedOn w:val="a"/>
    <w:uiPriority w:val="99"/>
    <w:unhideWhenUsed/>
    <w:rsid w:val="006B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2B4F"/>
    <w:rPr>
      <w:color w:val="0000FF"/>
      <w:u w:val="single"/>
    </w:rPr>
  </w:style>
  <w:style w:type="paragraph" w:customStyle="1" w:styleId="copyright-info">
    <w:name w:val="copyright-info"/>
    <w:basedOn w:val="a"/>
    <w:rsid w:val="006B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6897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gl.ru/" TargetMode="External"/><Relationship Id="rId18" Type="http://schemas.openxmlformats.org/officeDocument/2006/relationships/hyperlink" Target="http://vip.1gl.ru/" TargetMode="External"/><Relationship Id="rId26" Type="http://schemas.openxmlformats.org/officeDocument/2006/relationships/hyperlink" Target="http://vip.1gl.ru/" TargetMode="External"/><Relationship Id="rId39" Type="http://schemas.openxmlformats.org/officeDocument/2006/relationships/hyperlink" Target="http://vip.1gl.ru/" TargetMode="External"/><Relationship Id="rId21" Type="http://schemas.openxmlformats.org/officeDocument/2006/relationships/hyperlink" Target="http://vip.1gl.ru/" TargetMode="External"/><Relationship Id="rId34" Type="http://schemas.openxmlformats.org/officeDocument/2006/relationships/hyperlink" Target="http://vip.1gl.ru/" TargetMode="External"/><Relationship Id="rId42" Type="http://schemas.openxmlformats.org/officeDocument/2006/relationships/hyperlink" Target="http://vip.1gl.ru/" TargetMode="External"/><Relationship Id="rId47" Type="http://schemas.openxmlformats.org/officeDocument/2006/relationships/hyperlink" Target="http://vip.1gl.ru/" TargetMode="External"/><Relationship Id="rId50" Type="http://schemas.openxmlformats.org/officeDocument/2006/relationships/hyperlink" Target="http://vip.1gl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vip.1gl.ru/" TargetMode="External"/><Relationship Id="rId12" Type="http://schemas.openxmlformats.org/officeDocument/2006/relationships/hyperlink" Target="http://vip.1gl.ru/" TargetMode="External"/><Relationship Id="rId17" Type="http://schemas.openxmlformats.org/officeDocument/2006/relationships/hyperlink" Target="http://vip.1gl.ru/" TargetMode="External"/><Relationship Id="rId25" Type="http://schemas.openxmlformats.org/officeDocument/2006/relationships/hyperlink" Target="http://vip.1gl.ru/" TargetMode="External"/><Relationship Id="rId33" Type="http://schemas.openxmlformats.org/officeDocument/2006/relationships/hyperlink" Target="http://vip.1gl.ru/" TargetMode="External"/><Relationship Id="rId38" Type="http://schemas.openxmlformats.org/officeDocument/2006/relationships/hyperlink" Target="http://vip.1gl.ru/" TargetMode="External"/><Relationship Id="rId46" Type="http://schemas.openxmlformats.org/officeDocument/2006/relationships/hyperlink" Target="http://vip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gl.ru/" TargetMode="External"/><Relationship Id="rId20" Type="http://schemas.openxmlformats.org/officeDocument/2006/relationships/hyperlink" Target="http://vip.1gl.ru/" TargetMode="External"/><Relationship Id="rId29" Type="http://schemas.openxmlformats.org/officeDocument/2006/relationships/hyperlink" Target="http://vip.1gl.ru/" TargetMode="External"/><Relationship Id="rId41" Type="http://schemas.openxmlformats.org/officeDocument/2006/relationships/hyperlink" Target="http://vip.1gl.ru/" TargetMode="External"/><Relationship Id="rId54" Type="http://schemas.openxmlformats.org/officeDocument/2006/relationships/hyperlink" Target="http://vip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gl.ru/" TargetMode="External"/><Relationship Id="rId11" Type="http://schemas.openxmlformats.org/officeDocument/2006/relationships/hyperlink" Target="http://vip.1gl.ru/" TargetMode="External"/><Relationship Id="rId24" Type="http://schemas.openxmlformats.org/officeDocument/2006/relationships/hyperlink" Target="http://vip.1gl.ru/" TargetMode="External"/><Relationship Id="rId32" Type="http://schemas.openxmlformats.org/officeDocument/2006/relationships/hyperlink" Target="http://vip.1gl.ru/" TargetMode="External"/><Relationship Id="rId37" Type="http://schemas.openxmlformats.org/officeDocument/2006/relationships/hyperlink" Target="http://vip.1gl.ru/" TargetMode="External"/><Relationship Id="rId40" Type="http://schemas.openxmlformats.org/officeDocument/2006/relationships/hyperlink" Target="http://vip.1gl.ru/" TargetMode="External"/><Relationship Id="rId45" Type="http://schemas.openxmlformats.org/officeDocument/2006/relationships/hyperlink" Target="http://vip.1gl.ru/" TargetMode="External"/><Relationship Id="rId53" Type="http://schemas.openxmlformats.org/officeDocument/2006/relationships/hyperlink" Target="http://vip.1gl.ru/" TargetMode="External"/><Relationship Id="rId5" Type="http://schemas.openxmlformats.org/officeDocument/2006/relationships/hyperlink" Target="http://vip.1gl.ru/" TargetMode="External"/><Relationship Id="rId15" Type="http://schemas.openxmlformats.org/officeDocument/2006/relationships/hyperlink" Target="http://vip.1gl.ru/" TargetMode="External"/><Relationship Id="rId23" Type="http://schemas.openxmlformats.org/officeDocument/2006/relationships/hyperlink" Target="http://vip.1gl.ru/" TargetMode="External"/><Relationship Id="rId28" Type="http://schemas.openxmlformats.org/officeDocument/2006/relationships/hyperlink" Target="http://vip.1gl.ru/" TargetMode="External"/><Relationship Id="rId36" Type="http://schemas.openxmlformats.org/officeDocument/2006/relationships/hyperlink" Target="http://vip.1gl.ru/" TargetMode="External"/><Relationship Id="rId49" Type="http://schemas.openxmlformats.org/officeDocument/2006/relationships/hyperlink" Target="http://vip.1gl.ru/" TargetMode="External"/><Relationship Id="rId10" Type="http://schemas.openxmlformats.org/officeDocument/2006/relationships/hyperlink" Target="http://vip.1gl.ru/" TargetMode="External"/><Relationship Id="rId19" Type="http://schemas.openxmlformats.org/officeDocument/2006/relationships/hyperlink" Target="http://vip.1gl.ru/" TargetMode="External"/><Relationship Id="rId31" Type="http://schemas.openxmlformats.org/officeDocument/2006/relationships/hyperlink" Target="http://vip.1gl.ru/" TargetMode="External"/><Relationship Id="rId44" Type="http://schemas.openxmlformats.org/officeDocument/2006/relationships/hyperlink" Target="http://vip.1gl.ru/" TargetMode="External"/><Relationship Id="rId52" Type="http://schemas.openxmlformats.org/officeDocument/2006/relationships/hyperlink" Target="http://vip.1gl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p.1gl.ru/" TargetMode="External"/><Relationship Id="rId14" Type="http://schemas.openxmlformats.org/officeDocument/2006/relationships/hyperlink" Target="http://vip.1gl.ru/" TargetMode="External"/><Relationship Id="rId22" Type="http://schemas.openxmlformats.org/officeDocument/2006/relationships/hyperlink" Target="http://vip.1gl.ru/" TargetMode="External"/><Relationship Id="rId27" Type="http://schemas.openxmlformats.org/officeDocument/2006/relationships/hyperlink" Target="http://vip.1gl.ru/" TargetMode="External"/><Relationship Id="rId30" Type="http://schemas.openxmlformats.org/officeDocument/2006/relationships/hyperlink" Target="http://vip.1gl.ru/" TargetMode="External"/><Relationship Id="rId35" Type="http://schemas.openxmlformats.org/officeDocument/2006/relationships/hyperlink" Target="http://vip.1gl.ru/" TargetMode="External"/><Relationship Id="rId43" Type="http://schemas.openxmlformats.org/officeDocument/2006/relationships/hyperlink" Target="http://vip.1gl.ru/" TargetMode="External"/><Relationship Id="rId48" Type="http://schemas.openxmlformats.org/officeDocument/2006/relationships/hyperlink" Target="http://vip.1gl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vip.1gl.ru/" TargetMode="External"/><Relationship Id="rId51" Type="http://schemas.openxmlformats.org/officeDocument/2006/relationships/hyperlink" Target="http://vip.1gl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ARM-100</dc:creator>
  <cp:lastModifiedBy>ARM-100</cp:lastModifiedBy>
  <cp:revision>2</cp:revision>
  <cp:lastPrinted>2015-12-22T10:47:00Z</cp:lastPrinted>
  <dcterms:created xsi:type="dcterms:W3CDTF">2016-01-29T10:39:00Z</dcterms:created>
  <dcterms:modified xsi:type="dcterms:W3CDTF">2016-01-29T10:39:00Z</dcterms:modified>
</cp:coreProperties>
</file>